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F153BB" w:rsidP="00F85B9B" w14:paraId="13375856" w14:textId="77777777">
      <w:pPr>
        <w:spacing w:line="480" w:lineRule="auto"/>
        <w:rPr>
          <w:rFonts w:ascii="Times New Roman" w:hAnsi="Times New Roman" w:cs="Times New Roman"/>
          <w:sz w:val="24"/>
          <w:szCs w:val="24"/>
        </w:rPr>
      </w:pPr>
    </w:p>
    <w:p w:rsidR="00F153BB" w:rsidP="00F85B9B" w14:paraId="5C126445" w14:textId="77777777">
      <w:pPr>
        <w:spacing w:line="480" w:lineRule="auto"/>
        <w:rPr>
          <w:rFonts w:ascii="Times New Roman" w:hAnsi="Times New Roman" w:cs="Times New Roman"/>
          <w:sz w:val="24"/>
          <w:szCs w:val="24"/>
        </w:rPr>
      </w:pPr>
    </w:p>
    <w:p w:rsidR="00F153BB" w:rsidP="00F85B9B" w14:paraId="60F1A811" w14:textId="77777777">
      <w:pPr>
        <w:spacing w:line="480" w:lineRule="auto"/>
        <w:rPr>
          <w:rFonts w:ascii="Times New Roman" w:hAnsi="Times New Roman" w:cs="Times New Roman"/>
          <w:sz w:val="24"/>
          <w:szCs w:val="24"/>
        </w:rPr>
      </w:pPr>
    </w:p>
    <w:p w:rsidR="00F153BB" w:rsidP="00F85B9B" w14:paraId="1C682942" w14:textId="77777777">
      <w:pPr>
        <w:spacing w:line="480" w:lineRule="auto"/>
        <w:rPr>
          <w:rFonts w:ascii="Times New Roman" w:hAnsi="Times New Roman" w:cs="Times New Roman"/>
          <w:sz w:val="24"/>
          <w:szCs w:val="24"/>
        </w:rPr>
      </w:pPr>
    </w:p>
    <w:p w:rsidR="00F153BB" w:rsidP="00F85B9B" w14:paraId="58EAA64A" w14:textId="77777777">
      <w:pPr>
        <w:spacing w:line="480" w:lineRule="auto"/>
        <w:rPr>
          <w:rFonts w:ascii="Times New Roman" w:hAnsi="Times New Roman" w:cs="Times New Roman"/>
          <w:sz w:val="24"/>
          <w:szCs w:val="24"/>
        </w:rPr>
      </w:pPr>
    </w:p>
    <w:p w:rsidR="00F153BB" w:rsidP="00F85B9B" w14:paraId="36AABE77" w14:textId="2C92875F">
      <w:pPr>
        <w:spacing w:line="480" w:lineRule="auto"/>
        <w:jc w:val="center"/>
        <w:rPr>
          <w:rFonts w:ascii="Times New Roman" w:hAnsi="Times New Roman" w:cs="Times New Roman"/>
          <w:sz w:val="24"/>
          <w:szCs w:val="24"/>
        </w:rPr>
      </w:pPr>
      <w:r w:rsidRPr="00F153BB">
        <w:rPr>
          <w:rFonts w:ascii="Times New Roman" w:hAnsi="Times New Roman" w:cs="Times New Roman"/>
          <w:sz w:val="24"/>
          <w:szCs w:val="24"/>
        </w:rPr>
        <w:t>Legal Culture</w:t>
      </w:r>
    </w:p>
    <w:p w:rsidR="00F153BB" w:rsidP="00F85B9B" w14:paraId="5E917BBE"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153BB" w:rsidP="00F85B9B" w14:paraId="2E522C2F" w14:textId="0C60022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F153BB" w:rsidP="00F85B9B" w14:paraId="68DD3E83" w14:textId="77777777">
      <w:pPr>
        <w:spacing w:after="0" w:line="480" w:lineRule="auto"/>
        <w:rPr>
          <w:rFonts w:ascii="Times New Roman" w:hAnsi="Times New Roman" w:cs="Times New Roman"/>
          <w:sz w:val="24"/>
          <w:szCs w:val="24"/>
        </w:rPr>
      </w:pPr>
    </w:p>
    <w:p w:rsidR="00F153BB" w:rsidP="00F85B9B" w14:paraId="3AE07A02" w14:textId="77777777">
      <w:pPr>
        <w:spacing w:after="0" w:line="480" w:lineRule="auto"/>
        <w:rPr>
          <w:rFonts w:ascii="Times New Roman" w:hAnsi="Times New Roman" w:cs="Times New Roman"/>
          <w:sz w:val="24"/>
          <w:szCs w:val="24"/>
        </w:rPr>
      </w:pPr>
    </w:p>
    <w:p w:rsidR="00F153BB" w:rsidP="00F85B9B" w14:paraId="5A8EFEFD" w14:textId="77777777">
      <w:pPr>
        <w:spacing w:after="0" w:line="480" w:lineRule="auto"/>
        <w:rPr>
          <w:rFonts w:ascii="Times New Roman" w:hAnsi="Times New Roman" w:cs="Times New Roman"/>
          <w:sz w:val="24"/>
          <w:szCs w:val="24"/>
        </w:rPr>
      </w:pPr>
    </w:p>
    <w:p w:rsidR="00F153BB" w:rsidP="00F85B9B" w14:paraId="340454AA" w14:textId="77777777">
      <w:pPr>
        <w:spacing w:after="0" w:line="480" w:lineRule="auto"/>
        <w:rPr>
          <w:rFonts w:ascii="Times New Roman" w:hAnsi="Times New Roman" w:cs="Times New Roman"/>
          <w:sz w:val="24"/>
          <w:szCs w:val="24"/>
        </w:rPr>
      </w:pPr>
    </w:p>
    <w:p w:rsidR="00F153BB" w:rsidP="00F85B9B" w14:paraId="5B2B3884" w14:textId="77777777">
      <w:pPr>
        <w:spacing w:after="0" w:line="480" w:lineRule="auto"/>
        <w:rPr>
          <w:rFonts w:ascii="Times New Roman" w:hAnsi="Times New Roman" w:cs="Times New Roman"/>
          <w:sz w:val="24"/>
          <w:szCs w:val="24"/>
        </w:rPr>
      </w:pPr>
    </w:p>
    <w:p w:rsidR="00F153BB" w:rsidP="00F85B9B" w14:paraId="13EAAA25" w14:textId="77777777">
      <w:pPr>
        <w:spacing w:after="0" w:line="480" w:lineRule="auto"/>
        <w:rPr>
          <w:rFonts w:ascii="Times New Roman" w:hAnsi="Times New Roman" w:cs="Times New Roman"/>
          <w:sz w:val="24"/>
          <w:szCs w:val="24"/>
        </w:rPr>
      </w:pPr>
    </w:p>
    <w:p w:rsidR="00F153BB" w:rsidP="00F85B9B" w14:paraId="5F6CC18A" w14:textId="77777777">
      <w:pPr>
        <w:spacing w:after="0" w:line="480" w:lineRule="auto"/>
        <w:rPr>
          <w:rFonts w:ascii="Times New Roman" w:hAnsi="Times New Roman" w:cs="Times New Roman"/>
          <w:sz w:val="24"/>
          <w:szCs w:val="24"/>
        </w:rPr>
      </w:pPr>
    </w:p>
    <w:p w:rsidR="00F153BB" w:rsidP="00F85B9B" w14:paraId="2AA603F4" w14:textId="77777777">
      <w:pPr>
        <w:spacing w:after="0" w:line="480" w:lineRule="auto"/>
        <w:rPr>
          <w:rFonts w:ascii="Times New Roman" w:hAnsi="Times New Roman" w:cs="Times New Roman"/>
          <w:sz w:val="24"/>
          <w:szCs w:val="24"/>
        </w:rPr>
      </w:pPr>
    </w:p>
    <w:p w:rsidR="00F153BB" w:rsidP="00F85B9B" w14:paraId="17648B24" w14:textId="77777777">
      <w:pPr>
        <w:spacing w:after="0" w:line="480" w:lineRule="auto"/>
        <w:rPr>
          <w:rFonts w:ascii="Times New Roman" w:hAnsi="Times New Roman" w:cs="Times New Roman"/>
          <w:sz w:val="24"/>
          <w:szCs w:val="24"/>
        </w:rPr>
      </w:pPr>
    </w:p>
    <w:p w:rsidR="00F153BB" w:rsidP="00F85B9B" w14:paraId="6DEBF338" w14:textId="77777777">
      <w:pPr>
        <w:spacing w:after="0" w:line="480" w:lineRule="auto"/>
        <w:rPr>
          <w:rFonts w:ascii="Times New Roman" w:hAnsi="Times New Roman" w:cs="Times New Roman"/>
          <w:sz w:val="24"/>
          <w:szCs w:val="24"/>
        </w:rPr>
      </w:pPr>
    </w:p>
    <w:p w:rsidR="00F153BB" w:rsidP="00F85B9B" w14:paraId="6D25A311" w14:textId="77777777">
      <w:pPr>
        <w:spacing w:after="0" w:line="480" w:lineRule="auto"/>
        <w:rPr>
          <w:rFonts w:ascii="Times New Roman" w:hAnsi="Times New Roman" w:cs="Times New Roman"/>
          <w:sz w:val="24"/>
          <w:szCs w:val="24"/>
        </w:rPr>
      </w:pPr>
    </w:p>
    <w:p w:rsidR="00F153BB" w:rsidP="00F85B9B" w14:paraId="57E30C9B" w14:textId="77777777">
      <w:pPr>
        <w:spacing w:after="0" w:line="480" w:lineRule="auto"/>
        <w:rPr>
          <w:rFonts w:ascii="Times New Roman" w:hAnsi="Times New Roman" w:cs="Times New Roman"/>
          <w:sz w:val="24"/>
          <w:szCs w:val="24"/>
        </w:rPr>
      </w:pPr>
    </w:p>
    <w:p w:rsidR="00F153BB" w:rsidP="00F85B9B" w14:paraId="4E59779D" w14:textId="77777777">
      <w:pPr>
        <w:spacing w:after="0" w:line="480" w:lineRule="auto"/>
        <w:rPr>
          <w:rFonts w:ascii="Times New Roman" w:hAnsi="Times New Roman" w:cs="Times New Roman"/>
          <w:sz w:val="24"/>
          <w:szCs w:val="24"/>
        </w:rPr>
      </w:pPr>
    </w:p>
    <w:p w:rsidR="00693C14" w:rsidRPr="00693C14" w:rsidP="00693C14" w14:paraId="6D9F466F" w14:textId="53403D47">
      <w:pPr>
        <w:tabs>
          <w:tab w:val="left" w:pos="2340"/>
        </w:tabs>
        <w:spacing w:after="0" w:line="480" w:lineRule="auto"/>
        <w:ind w:firstLine="720"/>
        <w:jc w:val="center"/>
        <w:rPr>
          <w:rFonts w:ascii="Times New Roman" w:hAnsi="Times New Roman" w:cs="Times New Roman"/>
          <w:b/>
          <w:bCs/>
          <w:sz w:val="24"/>
          <w:szCs w:val="24"/>
        </w:rPr>
      </w:pPr>
      <w:r w:rsidRPr="00693C14">
        <w:rPr>
          <w:rFonts w:ascii="Times New Roman" w:hAnsi="Times New Roman" w:cs="Times New Roman"/>
          <w:b/>
          <w:bCs/>
          <w:sz w:val="24"/>
          <w:szCs w:val="24"/>
        </w:rPr>
        <w:t xml:space="preserve">Legal Culture                                                                                                           </w:t>
      </w:r>
    </w:p>
    <w:p w:rsidR="00B91533" w:rsidP="00693C14" w14:paraId="265F2325" w14:textId="7873020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Legal culture is an important concept </w:t>
      </w:r>
      <w:r w:rsidR="006727CF">
        <w:rPr>
          <w:rFonts w:ascii="Times New Roman" w:hAnsi="Times New Roman" w:cs="Times New Roman"/>
          <w:sz w:val="24"/>
          <w:szCs w:val="24"/>
        </w:rPr>
        <w:t xml:space="preserve">of law </w:t>
      </w:r>
      <w:r>
        <w:rPr>
          <w:rFonts w:ascii="Times New Roman" w:hAnsi="Times New Roman" w:cs="Times New Roman"/>
          <w:sz w:val="24"/>
          <w:szCs w:val="24"/>
        </w:rPr>
        <w:t xml:space="preserve">that was first used in the mid-1980s by the legal United States historians. </w:t>
      </w:r>
      <w:r w:rsidRPr="00B91533">
        <w:rPr>
          <w:rFonts w:ascii="Times New Roman" w:hAnsi="Times New Roman" w:cs="Times New Roman"/>
          <w:sz w:val="24"/>
          <w:szCs w:val="24"/>
        </w:rPr>
        <w:t>It</w:t>
      </w:r>
      <w:r w:rsidR="000F75D5">
        <w:rPr>
          <w:rFonts w:ascii="Times New Roman" w:hAnsi="Times New Roman" w:cs="Times New Roman"/>
          <w:sz w:val="24"/>
          <w:szCs w:val="24"/>
        </w:rPr>
        <w:t>s role in changing the society and its ability to outlining the indeterminacy which occurred</w:t>
      </w:r>
      <w:r w:rsidRPr="00B91533">
        <w:rPr>
          <w:rFonts w:ascii="Times New Roman" w:hAnsi="Times New Roman" w:cs="Times New Roman"/>
          <w:sz w:val="24"/>
          <w:szCs w:val="24"/>
        </w:rPr>
        <w:t xml:space="preserve"> under the influence of the Critical Legal Studies movement</w:t>
      </w:r>
      <w:r>
        <w:rPr>
          <w:rFonts w:ascii="Times New Roman" w:hAnsi="Times New Roman" w:cs="Times New Roman"/>
          <w:sz w:val="24"/>
          <w:szCs w:val="24"/>
        </w:rPr>
        <w:t xml:space="preserve">. The study of legal culture is </w:t>
      </w:r>
      <w:r w:rsidR="000F75D5">
        <w:rPr>
          <w:rFonts w:ascii="Times New Roman" w:hAnsi="Times New Roman" w:cs="Times New Roman"/>
          <w:sz w:val="24"/>
          <w:szCs w:val="24"/>
        </w:rPr>
        <w:t>based</w:t>
      </w:r>
      <w:r>
        <w:rPr>
          <w:rFonts w:ascii="Times New Roman" w:hAnsi="Times New Roman" w:cs="Times New Roman"/>
          <w:sz w:val="24"/>
          <w:szCs w:val="24"/>
        </w:rPr>
        <w:t xml:space="preserve"> on a wide range of sources like notarial deeds or court records that give an insight into a number of social practices legally shaped.</w:t>
      </w:r>
      <w:r w:rsidR="006727CF">
        <w:rPr>
          <w:rFonts w:ascii="Times New Roman" w:hAnsi="Times New Roman" w:cs="Times New Roman"/>
          <w:sz w:val="24"/>
          <w:szCs w:val="24"/>
        </w:rPr>
        <w:t xml:space="preserve"> The study of legal culture </w:t>
      </w:r>
      <w:r w:rsidR="009839F0">
        <w:rPr>
          <w:rFonts w:ascii="Times New Roman" w:hAnsi="Times New Roman" w:cs="Times New Roman"/>
          <w:sz w:val="24"/>
          <w:szCs w:val="24"/>
        </w:rPr>
        <w:t>also gives insight into the circumstances when the non-elite</w:t>
      </w:r>
      <w:r w:rsidR="004A7C94">
        <w:rPr>
          <w:rFonts w:ascii="Times New Roman" w:hAnsi="Times New Roman" w:cs="Times New Roman"/>
          <w:sz w:val="24"/>
          <w:szCs w:val="24"/>
        </w:rPr>
        <w:t xml:space="preserve"> group of people engage</w:t>
      </w:r>
      <w:r w:rsidR="009839F0">
        <w:rPr>
          <w:rFonts w:ascii="Times New Roman" w:hAnsi="Times New Roman" w:cs="Times New Roman"/>
          <w:sz w:val="24"/>
          <w:szCs w:val="24"/>
        </w:rPr>
        <w:t xml:space="preserve"> in legal actions to change their personal situation. This paper will, therefore, explain how Lawrence </w:t>
      </w:r>
      <w:r w:rsidRPr="009839F0" w:rsidR="009839F0">
        <w:rPr>
          <w:rFonts w:ascii="Times New Roman" w:hAnsi="Times New Roman" w:cs="Times New Roman"/>
          <w:sz w:val="24"/>
          <w:szCs w:val="24"/>
        </w:rPr>
        <w:t>Friedman</w:t>
      </w:r>
      <w:r w:rsidR="009839F0">
        <w:rPr>
          <w:rFonts w:ascii="Times New Roman" w:hAnsi="Times New Roman" w:cs="Times New Roman"/>
          <w:sz w:val="24"/>
          <w:szCs w:val="24"/>
        </w:rPr>
        <w:t xml:space="preserve"> characterizes American legal culture, explore how the legal culture is related to the culture of the society and finally discuss whether the law is influenced by dominant cultural beliefs based on the case of Lawrence v. Texas.</w:t>
      </w:r>
    </w:p>
    <w:p w:rsidR="007056CC" w:rsidP="00693C14" w14:paraId="6E989305" w14:textId="26B3C69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Law can be defined as a written body of general rules of conduct applicable to all members of a defined community, society or </w:t>
      </w:r>
      <w:r w:rsidR="001018B6">
        <w:rPr>
          <w:rFonts w:ascii="Times New Roman" w:hAnsi="Times New Roman" w:cs="Times New Roman"/>
          <w:sz w:val="24"/>
          <w:szCs w:val="24"/>
        </w:rPr>
        <w:t>culture,</w:t>
      </w:r>
      <w:r>
        <w:rPr>
          <w:rFonts w:ascii="Times New Roman" w:hAnsi="Times New Roman" w:cs="Times New Roman"/>
          <w:sz w:val="24"/>
          <w:szCs w:val="24"/>
        </w:rPr>
        <w:t xml:space="preserve"> which emanate from a governing authority and which are enforced by its agents by the imposition of penalties for their violation (</w:t>
      </w:r>
      <w:r w:rsidR="00C07EB4">
        <w:rPr>
          <w:rFonts w:ascii="Times New Roman" w:hAnsi="Times New Roman" w:cs="Times New Roman"/>
          <w:sz w:val="24"/>
          <w:szCs w:val="24"/>
        </w:rPr>
        <w:t xml:space="preserve">Walsh &amp; </w:t>
      </w:r>
      <w:r w:rsidR="00C07EB4">
        <w:rPr>
          <w:rFonts w:ascii="Times New Roman" w:hAnsi="Times New Roman" w:cs="Times New Roman"/>
          <w:sz w:val="24"/>
          <w:szCs w:val="24"/>
        </w:rPr>
        <w:t>Hemmens</w:t>
      </w:r>
      <w:r w:rsidR="00C07EB4">
        <w:rPr>
          <w:rFonts w:ascii="Times New Roman" w:hAnsi="Times New Roman" w:cs="Times New Roman"/>
          <w:sz w:val="24"/>
          <w:szCs w:val="24"/>
        </w:rPr>
        <w:t>, 2008, P.3)</w:t>
      </w:r>
      <w:r>
        <w:rPr>
          <w:rFonts w:ascii="Times New Roman" w:hAnsi="Times New Roman" w:cs="Times New Roman"/>
          <w:sz w:val="24"/>
          <w:szCs w:val="24"/>
        </w:rPr>
        <w:t>.</w:t>
      </w:r>
      <w:r w:rsidR="001018B6">
        <w:rPr>
          <w:rFonts w:ascii="Times New Roman" w:hAnsi="Times New Roman" w:cs="Times New Roman"/>
          <w:sz w:val="24"/>
          <w:szCs w:val="24"/>
        </w:rPr>
        <w:t xml:space="preserve"> </w:t>
      </w:r>
      <w:r w:rsidR="00FC3132">
        <w:rPr>
          <w:rFonts w:ascii="Times New Roman" w:hAnsi="Times New Roman" w:cs="Times New Roman"/>
          <w:sz w:val="24"/>
          <w:szCs w:val="24"/>
        </w:rPr>
        <w:t>L</w:t>
      </w:r>
      <w:r w:rsidR="001018B6">
        <w:rPr>
          <w:rFonts w:ascii="Times New Roman" w:hAnsi="Times New Roman" w:cs="Times New Roman"/>
          <w:sz w:val="24"/>
          <w:szCs w:val="24"/>
        </w:rPr>
        <w:t>aw is a system that defines the manner in which a group of individuals live together because it is the centre of all organized social life. It generally binds together people who share a common culture. These cultures have characteristics such as beliefs, norms, values, symbols, language and technology.
</w:t>
      </w:r>
    </w:p>
    <w:p w:rsidR="00693C14" w:rsidP="00693C14" w14:paraId="3E359532" w14:textId="223BC34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However, l</w:t>
      </w:r>
      <w:r w:rsidRPr="00B26F18" w:rsidR="00B26F18">
        <w:rPr>
          <w:rFonts w:ascii="Times New Roman" w:hAnsi="Times New Roman" w:cs="Times New Roman"/>
          <w:sz w:val="24"/>
          <w:szCs w:val="24"/>
        </w:rPr>
        <w:t>egal culture, in Friedman’s sense</w:t>
      </w:r>
      <w:r>
        <w:rPr>
          <w:rFonts w:ascii="Times New Roman" w:hAnsi="Times New Roman" w:cs="Times New Roman"/>
          <w:sz w:val="24"/>
          <w:szCs w:val="24"/>
        </w:rPr>
        <w:t>,</w:t>
      </w:r>
      <w:r w:rsidRPr="00B26F18" w:rsidR="00B26F18">
        <w:rPr>
          <w:rFonts w:ascii="Times New Roman" w:hAnsi="Times New Roman" w:cs="Times New Roman"/>
          <w:sz w:val="24"/>
          <w:szCs w:val="24"/>
        </w:rPr>
        <w:t xml:space="preserve"> is "values, opinions, attitudes and beliefs about the law" (Friedman 1998). It might include (and does include at various points in his corpus of work) ideas about law, propensities to litigate, and customs and habits related to law. Indeed, </w:t>
      </w:r>
      <w:r w:rsidRPr="00B26F18" w:rsidR="00B26F18">
        <w:rPr>
          <w:rFonts w:ascii="Times New Roman" w:hAnsi="Times New Roman" w:cs="Times New Roman"/>
          <w:sz w:val="24"/>
          <w:szCs w:val="24"/>
        </w:rPr>
        <w:t>Cotterell</w:t>
      </w:r>
      <w:r w:rsidRPr="00B26F18" w:rsidR="00B26F18">
        <w:rPr>
          <w:rFonts w:ascii="Times New Roman" w:hAnsi="Times New Roman" w:cs="Times New Roman"/>
          <w:sz w:val="24"/>
          <w:szCs w:val="24"/>
        </w:rPr>
        <w:t xml:space="preserve"> (1997) attacks Friedman as including phenomena too diffuse to fit within a single construct and accuses Friedman of shifting the concept of culture over time.</w:t>
      </w:r>
      <w:r w:rsidR="00B12C62">
        <w:rPr>
          <w:rFonts w:ascii="Times New Roman" w:hAnsi="Times New Roman" w:cs="Times New Roman"/>
          <w:sz w:val="24"/>
          <w:szCs w:val="24"/>
        </w:rPr>
        <w:t xml:space="preserve"> He</w:t>
      </w:r>
      <w:r w:rsidRPr="00B26F18" w:rsidR="00B26F18">
        <w:rPr>
          <w:rFonts w:ascii="Times New Roman" w:hAnsi="Times New Roman" w:cs="Times New Roman"/>
          <w:sz w:val="24"/>
          <w:szCs w:val="24"/>
        </w:rPr>
        <w:t xml:space="preserve"> use</w:t>
      </w:r>
      <w:r w:rsidR="00B12C62">
        <w:rPr>
          <w:rFonts w:ascii="Times New Roman" w:hAnsi="Times New Roman" w:cs="Times New Roman"/>
          <w:sz w:val="24"/>
          <w:szCs w:val="24"/>
        </w:rPr>
        <w:t>s</w:t>
      </w:r>
      <w:r w:rsidRPr="00B26F18" w:rsidR="00B26F18">
        <w:rPr>
          <w:rFonts w:ascii="Times New Roman" w:hAnsi="Times New Roman" w:cs="Times New Roman"/>
          <w:sz w:val="24"/>
          <w:szCs w:val="24"/>
        </w:rPr>
        <w:t xml:space="preserve"> cultur</w:t>
      </w:r>
      <w:r w:rsidR="00B12C62">
        <w:rPr>
          <w:rFonts w:ascii="Times New Roman" w:hAnsi="Times New Roman" w:cs="Times New Roman"/>
          <w:sz w:val="24"/>
          <w:szCs w:val="24"/>
        </w:rPr>
        <w:t>e</w:t>
      </w:r>
      <w:r w:rsidRPr="00B26F18" w:rsidR="00B26F18">
        <w:rPr>
          <w:rFonts w:ascii="Times New Roman" w:hAnsi="Times New Roman" w:cs="Times New Roman"/>
          <w:sz w:val="24"/>
          <w:szCs w:val="24"/>
        </w:rPr>
        <w:t xml:space="preserve"> as </w:t>
      </w:r>
      <w:r w:rsidRPr="00B26F18" w:rsidR="00B26F18">
        <w:rPr>
          <w:rFonts w:ascii="Times New Roman" w:hAnsi="Times New Roman" w:cs="Times New Roman"/>
          <w:sz w:val="24"/>
          <w:szCs w:val="24"/>
        </w:rPr>
        <w:t xml:space="preserve">an intervening variable. </w:t>
      </w:r>
      <w:r w:rsidR="00FC3132">
        <w:rPr>
          <w:rFonts w:ascii="Times New Roman" w:hAnsi="Times New Roman" w:cs="Times New Roman"/>
          <w:sz w:val="24"/>
          <w:szCs w:val="24"/>
        </w:rPr>
        <w:t xml:space="preserve">The </w:t>
      </w:r>
      <w:r w:rsidRPr="00B26F18" w:rsidR="00B26F18">
        <w:rPr>
          <w:rFonts w:ascii="Times New Roman" w:hAnsi="Times New Roman" w:cs="Times New Roman"/>
          <w:sz w:val="24"/>
          <w:szCs w:val="24"/>
        </w:rPr>
        <w:t>law</w:t>
      </w:r>
      <w:r w:rsidR="00FC3132">
        <w:rPr>
          <w:rFonts w:ascii="Times New Roman" w:hAnsi="Times New Roman" w:cs="Times New Roman"/>
          <w:sz w:val="24"/>
          <w:szCs w:val="24"/>
        </w:rPr>
        <w:t xml:space="preserve"> is made by social forces</w:t>
      </w:r>
      <w:r w:rsidRPr="00B26F18" w:rsidR="00B26F18">
        <w:rPr>
          <w:rFonts w:ascii="Times New Roman" w:hAnsi="Times New Roman" w:cs="Times New Roman"/>
          <w:sz w:val="24"/>
          <w:szCs w:val="24"/>
        </w:rPr>
        <w:t>, but social change does not produce legal change directly. Rather, legal culture mediates similar pressures in different ways in different societies (Friedman 1994). Yet 10 legal culture</w:t>
      </w:r>
      <w:r w:rsidR="00FC3132">
        <w:rPr>
          <w:rFonts w:ascii="Times New Roman" w:hAnsi="Times New Roman" w:cs="Times New Roman"/>
          <w:sz w:val="24"/>
          <w:szCs w:val="24"/>
        </w:rPr>
        <w:t xml:space="preserve"> is </w:t>
      </w:r>
      <w:r w:rsidRPr="00B26F18" w:rsidR="00B26F18">
        <w:rPr>
          <w:rFonts w:ascii="Times New Roman" w:hAnsi="Times New Roman" w:cs="Times New Roman"/>
          <w:sz w:val="24"/>
          <w:szCs w:val="24"/>
        </w:rPr>
        <w:t xml:space="preserve">partially responsive to </w:t>
      </w:r>
      <w:r w:rsidRPr="00B26F18" w:rsidR="00FC3132">
        <w:rPr>
          <w:rFonts w:ascii="Times New Roman" w:hAnsi="Times New Roman" w:cs="Times New Roman"/>
          <w:sz w:val="24"/>
          <w:szCs w:val="24"/>
        </w:rPr>
        <w:t>technologica</w:t>
      </w:r>
      <w:r w:rsidR="00FC3132">
        <w:rPr>
          <w:rFonts w:ascii="Times New Roman" w:hAnsi="Times New Roman" w:cs="Times New Roman"/>
          <w:sz w:val="24"/>
          <w:szCs w:val="24"/>
        </w:rPr>
        <w:t xml:space="preserve">l, </w:t>
      </w:r>
      <w:r w:rsidRPr="00B26F18" w:rsidR="00B26F18">
        <w:rPr>
          <w:rFonts w:ascii="Times New Roman" w:hAnsi="Times New Roman" w:cs="Times New Roman"/>
          <w:sz w:val="24"/>
          <w:szCs w:val="24"/>
        </w:rPr>
        <w:t xml:space="preserve">social, and economic change. For </w:t>
      </w:r>
      <w:r w:rsidR="00547F0E">
        <w:rPr>
          <w:rFonts w:ascii="Times New Roman" w:hAnsi="Times New Roman" w:cs="Times New Roman"/>
          <w:sz w:val="24"/>
          <w:szCs w:val="24"/>
        </w:rPr>
        <w:t>instance</w:t>
      </w:r>
      <w:r w:rsidRPr="00B26F18" w:rsidR="00B26F18">
        <w:rPr>
          <w:rFonts w:ascii="Times New Roman" w:hAnsi="Times New Roman" w:cs="Times New Roman"/>
          <w:sz w:val="24"/>
          <w:szCs w:val="24"/>
        </w:rPr>
        <w:t xml:space="preserve">, </w:t>
      </w:r>
      <w:r w:rsidR="00547F0E">
        <w:rPr>
          <w:rFonts w:ascii="Times New Roman" w:hAnsi="Times New Roman" w:cs="Times New Roman"/>
          <w:sz w:val="24"/>
          <w:szCs w:val="24"/>
        </w:rPr>
        <w:t>there might be a convergence on how the people view the law in the developed countries</w:t>
      </w:r>
      <w:r w:rsidR="002A4413">
        <w:rPr>
          <w:rFonts w:ascii="Times New Roman" w:hAnsi="Times New Roman" w:cs="Times New Roman"/>
          <w:sz w:val="24"/>
          <w:szCs w:val="24"/>
        </w:rPr>
        <w:t xml:space="preserve"> with the increase in the types and number of economic transactions. </w:t>
      </w:r>
      <w:r w:rsidR="00632ABB">
        <w:rPr>
          <w:rFonts w:ascii="Times New Roman" w:hAnsi="Times New Roman" w:cs="Times New Roman"/>
          <w:sz w:val="24"/>
          <w:szCs w:val="24"/>
        </w:rPr>
        <w:t>Hence, c</w:t>
      </w:r>
      <w:r w:rsidRPr="00B26F18" w:rsidR="00B26F18">
        <w:rPr>
          <w:rFonts w:ascii="Times New Roman" w:hAnsi="Times New Roman" w:cs="Times New Roman"/>
          <w:sz w:val="24"/>
          <w:szCs w:val="24"/>
        </w:rPr>
        <w:t>ulture</w:t>
      </w:r>
      <w:r w:rsidR="00632ABB">
        <w:rPr>
          <w:rFonts w:ascii="Times New Roman" w:hAnsi="Times New Roman" w:cs="Times New Roman"/>
          <w:sz w:val="24"/>
          <w:szCs w:val="24"/>
        </w:rPr>
        <w:t xml:space="preserve"> </w:t>
      </w:r>
      <w:r w:rsidRPr="00B26F18" w:rsidR="00B26F18">
        <w:rPr>
          <w:rFonts w:ascii="Times New Roman" w:hAnsi="Times New Roman" w:cs="Times New Roman"/>
          <w:sz w:val="24"/>
          <w:szCs w:val="24"/>
        </w:rPr>
        <w:t xml:space="preserve">represents a </w:t>
      </w:r>
      <w:r w:rsidR="00632ABB">
        <w:rPr>
          <w:rFonts w:ascii="Times New Roman" w:hAnsi="Times New Roman" w:cs="Times New Roman"/>
          <w:sz w:val="24"/>
          <w:szCs w:val="24"/>
        </w:rPr>
        <w:t xml:space="preserve">type </w:t>
      </w:r>
      <w:r w:rsidRPr="00B26F18" w:rsidR="00B26F18">
        <w:rPr>
          <w:rFonts w:ascii="Times New Roman" w:hAnsi="Times New Roman" w:cs="Times New Roman"/>
          <w:sz w:val="24"/>
          <w:szCs w:val="24"/>
        </w:rPr>
        <w:t xml:space="preserve">of lag, though it is </w:t>
      </w:r>
      <w:r w:rsidR="00632ABB">
        <w:rPr>
          <w:rFonts w:ascii="Times New Roman" w:hAnsi="Times New Roman" w:cs="Times New Roman"/>
          <w:sz w:val="24"/>
          <w:szCs w:val="24"/>
        </w:rPr>
        <w:t>rarely</w:t>
      </w:r>
      <w:r w:rsidRPr="00B26F18" w:rsidR="00B26F18">
        <w:rPr>
          <w:rFonts w:ascii="Times New Roman" w:hAnsi="Times New Roman" w:cs="Times New Roman"/>
          <w:sz w:val="24"/>
          <w:szCs w:val="24"/>
        </w:rPr>
        <w:t xml:space="preserve"> predictable</w:t>
      </w:r>
      <w:r w:rsidR="00632ABB">
        <w:rPr>
          <w:rFonts w:ascii="Times New Roman" w:hAnsi="Times New Roman" w:cs="Times New Roman"/>
          <w:sz w:val="24"/>
          <w:szCs w:val="24"/>
        </w:rPr>
        <w:t xml:space="preserve"> in ways it varies</w:t>
      </w:r>
      <w:r w:rsidRPr="00B26F18" w:rsidR="00B26F18">
        <w:rPr>
          <w:rFonts w:ascii="Times New Roman" w:hAnsi="Times New Roman" w:cs="Times New Roman"/>
          <w:sz w:val="24"/>
          <w:szCs w:val="24"/>
        </w:rPr>
        <w:t>. The</w:t>
      </w:r>
      <w:r w:rsidR="00DE74A7">
        <w:rPr>
          <w:rFonts w:ascii="Times New Roman" w:hAnsi="Times New Roman" w:cs="Times New Roman"/>
          <w:sz w:val="24"/>
          <w:szCs w:val="24"/>
        </w:rPr>
        <w:t xml:space="preserve"> </w:t>
      </w:r>
      <w:r w:rsidRPr="00B26F18" w:rsidR="00B26F18">
        <w:rPr>
          <w:rFonts w:ascii="Times New Roman" w:hAnsi="Times New Roman" w:cs="Times New Roman"/>
          <w:sz w:val="24"/>
          <w:szCs w:val="24"/>
        </w:rPr>
        <w:t>culture</w:t>
      </w:r>
      <w:r w:rsidR="00DE74A7">
        <w:rPr>
          <w:rFonts w:ascii="Times New Roman" w:hAnsi="Times New Roman" w:cs="Times New Roman"/>
          <w:sz w:val="24"/>
          <w:szCs w:val="24"/>
        </w:rPr>
        <w:t xml:space="preserve"> notion</w:t>
      </w:r>
      <w:r w:rsidRPr="00B26F18" w:rsidR="00B26F18">
        <w:rPr>
          <w:rFonts w:ascii="Times New Roman" w:hAnsi="Times New Roman" w:cs="Times New Roman"/>
          <w:sz w:val="24"/>
          <w:szCs w:val="24"/>
        </w:rPr>
        <w:t xml:space="preserve"> sounds like it emphasizes the particular and the permanent. But Friedman makes the case that legal culture can be studied at a general level: there is, a distinctively modern legal culture around which societies converge (Friedman 1994). </w:t>
      </w:r>
    </w:p>
    <w:p w:rsidR="00693C14" w:rsidP="00693C14" w14:paraId="063E07F0" w14:textId="1F3E8E22">
      <w:pPr>
        <w:spacing w:after="0" w:line="480" w:lineRule="auto"/>
        <w:rPr>
          <w:rFonts w:ascii="Times New Roman" w:hAnsi="Times New Roman" w:cs="Times New Roman"/>
          <w:sz w:val="24"/>
          <w:szCs w:val="24"/>
        </w:rPr>
      </w:pPr>
      <w:r w:rsidRPr="00B26F18">
        <w:rPr>
          <w:rFonts w:ascii="Times New Roman" w:hAnsi="Times New Roman" w:cs="Times New Roman"/>
          <w:sz w:val="24"/>
          <w:szCs w:val="24"/>
        </w:rPr>
        <w:t>The modern legal culture, writes Friedman, shares six traits</w:t>
      </w:r>
      <w:r w:rsidR="00DE74A7">
        <w:rPr>
          <w:rFonts w:ascii="Times New Roman" w:hAnsi="Times New Roman" w:cs="Times New Roman"/>
          <w:sz w:val="24"/>
          <w:szCs w:val="24"/>
        </w:rPr>
        <w:t xml:space="preserve">; a legal change that is rapid with respect to social rapid change, ubiquity and density of law that leads to a </w:t>
      </w:r>
      <w:r w:rsidR="00DE74A7">
        <w:rPr>
          <w:rFonts w:ascii="Times New Roman" w:hAnsi="Times New Roman" w:cs="Times New Roman"/>
          <w:sz w:val="24"/>
          <w:szCs w:val="24"/>
        </w:rPr>
        <w:t>juridification</w:t>
      </w:r>
      <w:r w:rsidR="00DE74A7">
        <w:rPr>
          <w:rFonts w:ascii="Times New Roman" w:hAnsi="Times New Roman" w:cs="Times New Roman"/>
          <w:sz w:val="24"/>
          <w:szCs w:val="24"/>
        </w:rPr>
        <w:t xml:space="preserve"> of social life, </w:t>
      </w:r>
      <w:r w:rsidR="00051836">
        <w:rPr>
          <w:rFonts w:ascii="Times New Roman" w:hAnsi="Times New Roman" w:cs="Times New Roman"/>
          <w:sz w:val="24"/>
          <w:szCs w:val="24"/>
        </w:rPr>
        <w:t>individualism culture that explains the shift towards rights, legitimacy of instrumental law as a tool of social engineering, emphasis on entitlement and rights that are somewhat paradoxical, and convergence and globalization of legal cultures.</w:t>
      </w:r>
      <w:r w:rsidRPr="00B26F18">
        <w:rPr>
          <w:rFonts w:ascii="Times New Roman" w:hAnsi="Times New Roman" w:cs="Times New Roman"/>
          <w:sz w:val="24"/>
          <w:szCs w:val="24"/>
        </w:rPr>
        <w:t xml:space="preserve"> Here Friedman's angle on globalization becomes apparent. Many argue that globalized efforts to transfer legal institutions are imperialistic and involve crude Westernization. But this claim implicitly assumes that the rule of law concept is culturally specific to the west. Friedman argues that it is not so much Western as modern (Friedman 1994). Modern societies are complex and involve less face-to-face interaction among people who know each other. They also involve disruption to established social orders, as the adoption of formal equality undermines culturally rooted hierarchies. 
</w:t>
      </w:r>
    </w:p>
    <w:p w:rsidR="0013533F" w:rsidP="00693C14" w14:paraId="515A6226" w14:textId="77777777">
      <w:pPr>
        <w:spacing w:after="0" w:line="480" w:lineRule="auto"/>
        <w:ind w:firstLine="720"/>
        <w:rPr>
          <w:rFonts w:ascii="Times New Roman" w:hAnsi="Times New Roman" w:cs="Times New Roman"/>
          <w:sz w:val="24"/>
          <w:szCs w:val="24"/>
        </w:rPr>
      </w:pPr>
      <w:r w:rsidRPr="00B26F18">
        <w:rPr>
          <w:rFonts w:ascii="Times New Roman" w:hAnsi="Times New Roman" w:cs="Times New Roman"/>
          <w:sz w:val="24"/>
          <w:szCs w:val="24"/>
        </w:rPr>
        <w:t xml:space="preserve">Again, Friedman has a pithy analogy, likening the historical introduction of modern law in the West to the automobile: “America was the first automobile society, but it does not follow that the streets of Tokyo, Seoul and Bangkok are jammed with traffic because of American </w:t>
      </w:r>
      <w:r w:rsidRPr="00B26F18">
        <w:rPr>
          <w:rFonts w:ascii="Times New Roman" w:hAnsi="Times New Roman" w:cs="Times New Roman"/>
          <w:sz w:val="24"/>
          <w:szCs w:val="24"/>
        </w:rPr>
        <w:t>influence” (Friedman 1998). The simple observation that legal culture reflects underlying social forces allows Friedman to emphasize surprising similarities that cut across the traditional “families” of comparative law. Thus, he sees similarities between the legal cultures of Germany and the Netherlands, Japan and the United States (Friedman 1998) and Belgium and Britain (Friedman 1990). All of these systems face common problems of industrial societies: 11 auto accidents, bond flotations, social security payments. On the other hand, observes Friedman, a British lawyer transported backwards in time a century or two would find himself quite unfamiliar with virtually everything about the law.</w:t>
      </w:r>
    </w:p>
    <w:p w:rsidR="004118E6" w:rsidP="00693C14" w14:paraId="37753A4B" w14:textId="5E3748AB">
      <w:pPr>
        <w:spacing w:after="0" w:line="480" w:lineRule="auto"/>
        <w:ind w:firstLine="720"/>
        <w:rPr>
          <w:rFonts w:ascii="Times New Roman" w:hAnsi="Times New Roman" w:cs="Times New Roman"/>
          <w:sz w:val="24"/>
          <w:szCs w:val="24"/>
        </w:rPr>
      </w:pPr>
      <w:r w:rsidRPr="00B26F18">
        <w:rPr>
          <w:rFonts w:ascii="Times New Roman" w:hAnsi="Times New Roman" w:cs="Times New Roman"/>
          <w:sz w:val="24"/>
          <w:szCs w:val="24"/>
        </w:rPr>
        <w:t xml:space="preserve"> Legal culture is dynamic and responsive, not genetic. And this co</w:t>
      </w:r>
      <w:r w:rsidR="00817C10">
        <w:rPr>
          <w:rFonts w:ascii="Times New Roman" w:hAnsi="Times New Roman" w:cs="Times New Roman"/>
          <w:sz w:val="24"/>
          <w:szCs w:val="24"/>
        </w:rPr>
        <w:t>mpellingly</w:t>
      </w:r>
      <w:r w:rsidRPr="00B26F18">
        <w:rPr>
          <w:rFonts w:ascii="Times New Roman" w:hAnsi="Times New Roman" w:cs="Times New Roman"/>
          <w:sz w:val="24"/>
          <w:szCs w:val="24"/>
        </w:rPr>
        <w:t xml:space="preserve"> </w:t>
      </w:r>
      <w:r w:rsidR="00817C10">
        <w:rPr>
          <w:rFonts w:ascii="Times New Roman" w:hAnsi="Times New Roman" w:cs="Times New Roman"/>
          <w:sz w:val="24"/>
          <w:szCs w:val="24"/>
        </w:rPr>
        <w:t>eliminates</w:t>
      </w:r>
      <w:r w:rsidRPr="00B26F18">
        <w:rPr>
          <w:rFonts w:ascii="Times New Roman" w:hAnsi="Times New Roman" w:cs="Times New Roman"/>
          <w:sz w:val="24"/>
          <w:szCs w:val="24"/>
        </w:rPr>
        <w:t xml:space="preserve"> the traditional </w:t>
      </w:r>
      <w:r w:rsidRPr="00B26F18">
        <w:rPr>
          <w:rFonts w:ascii="Times New Roman" w:hAnsi="Times New Roman" w:cs="Times New Roman"/>
          <w:sz w:val="24"/>
          <w:szCs w:val="24"/>
        </w:rPr>
        <w:t>comparativists</w:t>
      </w:r>
      <w:r w:rsidRPr="00B26F18">
        <w:rPr>
          <w:rFonts w:ascii="Times New Roman" w:hAnsi="Times New Roman" w:cs="Times New Roman"/>
          <w:sz w:val="24"/>
          <w:szCs w:val="24"/>
        </w:rPr>
        <w:t xml:space="preserve">’ idea that legal families provide much analytic bite in understanding contemporary societies. This is a good illustration of the liberating power of the concept of legal culture in social explanation. Ross (1993) notes that the “alluring ambiguity of legal culture offers a standing invitation to arrange seemingly unconnected bits of the past in new and revealing patterns without dampening enthusiasm or imagination by suggesting in advance what should and should not matter </w:t>
      </w:r>
      <w:r w:rsidR="005D68BC">
        <w:rPr>
          <w:rFonts w:ascii="Times New Roman" w:hAnsi="Times New Roman" w:cs="Times New Roman"/>
          <w:sz w:val="24"/>
          <w:szCs w:val="24"/>
        </w:rPr>
        <w:t>what</w:t>
      </w:r>
      <w:r w:rsidRPr="00B26F18">
        <w:rPr>
          <w:rFonts w:ascii="Times New Roman" w:hAnsi="Times New Roman" w:cs="Times New Roman"/>
          <w:sz w:val="24"/>
          <w:szCs w:val="24"/>
        </w:rPr>
        <w:t xml:space="preserve">” Indeed the very inclusiveness of the concept “can prod historians to make unexpected connections and stimulate scholarly inventiveness.” Friedman has indeed used it to this effect. Even if one accepts this view of the utility and power of legal culture as a concept, there is still the enormous evidentiary difficulty to overcome in deploying it. How can one know what attitudes and ideas about law are? Studying living law is difficult and expensive; indeed, one might say Friedman rejects incommensurability at the theoretical level, only to recreate it at the practical level by utilizing the empirically challenging construct of culture as his key analytic variable. Perhaps then, he means to utilize the notion of culture as a kind of remonstrance for researchers. Simply because you can’t easily observe it does not mean </w:t>
      </w:r>
      <w:r w:rsidRPr="00B26F18">
        <w:rPr>
          <w:rFonts w:ascii="Times New Roman" w:hAnsi="Times New Roman" w:cs="Times New Roman"/>
          <w:sz w:val="24"/>
          <w:szCs w:val="24"/>
        </w:rPr>
        <w:t>that culture isn’t there. So</w:t>
      </w:r>
      <w:r w:rsidR="0013533F">
        <w:rPr>
          <w:rFonts w:ascii="Times New Roman" w:hAnsi="Times New Roman" w:cs="Times New Roman"/>
          <w:sz w:val="24"/>
          <w:szCs w:val="24"/>
        </w:rPr>
        <w:t>,</w:t>
      </w:r>
      <w:r w:rsidRPr="00B26F18">
        <w:rPr>
          <w:rFonts w:ascii="Times New Roman" w:hAnsi="Times New Roman" w:cs="Times New Roman"/>
          <w:sz w:val="24"/>
          <w:szCs w:val="24"/>
        </w:rPr>
        <w:t xml:space="preserve"> we should at least attempt to read between the lines of what evidence we do have, be it legal documents or litigation rates or judicial decisions, for what they tell us about the real issue of legal culture.</w:t>
      </w:r>
    </w:p>
    <w:p w:rsidR="005D68BC" w:rsidP="005D68BC" w14:paraId="3AC169DB" w14:textId="75FA454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0C5E89">
        <w:rPr>
          <w:rFonts w:ascii="Times New Roman" w:hAnsi="Times New Roman" w:cs="Times New Roman"/>
          <w:sz w:val="24"/>
          <w:szCs w:val="24"/>
        </w:rPr>
        <w:t xml:space="preserve">law is </w:t>
      </w:r>
      <w:r>
        <w:rPr>
          <w:rFonts w:ascii="Times New Roman" w:hAnsi="Times New Roman" w:cs="Times New Roman"/>
          <w:sz w:val="24"/>
          <w:szCs w:val="24"/>
        </w:rPr>
        <w:t xml:space="preserve">not </w:t>
      </w:r>
      <w:r w:rsidR="000C5E89">
        <w:rPr>
          <w:rFonts w:ascii="Times New Roman" w:hAnsi="Times New Roman" w:cs="Times New Roman"/>
          <w:sz w:val="24"/>
          <w:szCs w:val="24"/>
        </w:rPr>
        <w:t>influenced by dominant cultural belief</w:t>
      </w:r>
      <w:r>
        <w:rPr>
          <w:rFonts w:ascii="Times New Roman" w:hAnsi="Times New Roman" w:cs="Times New Roman"/>
          <w:sz w:val="24"/>
          <w:szCs w:val="24"/>
        </w:rPr>
        <w:t>s. In the case of Lawrence v. Texas, it was ruled that the Homosexual Conduct law was unconstitutional and overturned the conviction between Lawrence and Garner. The</w:t>
      </w:r>
      <w:r w:rsidRPr="007C115F">
        <w:rPr>
          <w:rFonts w:ascii="Times New Roman" w:hAnsi="Times New Roman" w:cs="Times New Roman"/>
          <w:sz w:val="24"/>
          <w:szCs w:val="24"/>
        </w:rPr>
        <w:t xml:space="preserve"> issue, </w:t>
      </w:r>
      <w:r w:rsidR="00817C10">
        <w:rPr>
          <w:rFonts w:ascii="Times New Roman" w:hAnsi="Times New Roman" w:cs="Times New Roman"/>
          <w:sz w:val="24"/>
          <w:szCs w:val="24"/>
        </w:rPr>
        <w:t>in this case</w:t>
      </w:r>
      <w:r w:rsidRPr="007C115F">
        <w:rPr>
          <w:rFonts w:ascii="Times New Roman" w:hAnsi="Times New Roman" w:cs="Times New Roman"/>
          <w:sz w:val="24"/>
          <w:szCs w:val="24"/>
        </w:rPr>
        <w:t>, was not "the right to engage in homosexual sodomy" but "the right to privacy in the home" and "the right to freely engage in consensual, adult sex."</w:t>
      </w:r>
      <w:r w:rsidRPr="007C115F">
        <w:rPr>
          <w:rFonts w:ascii="Verdana" w:hAnsi="Verdana"/>
          <w:color w:val="333333"/>
          <w:sz w:val="18"/>
          <w:szCs w:val="18"/>
          <w:shd w:val="clear" w:color="auto" w:fill="FFFFFF"/>
        </w:rPr>
        <w:t xml:space="preserve"> </w:t>
      </w:r>
      <w:r w:rsidRPr="007C115F">
        <w:rPr>
          <w:rFonts w:ascii="Times New Roman" w:hAnsi="Times New Roman" w:cs="Times New Roman"/>
          <w:sz w:val="24"/>
          <w:szCs w:val="24"/>
        </w:rPr>
        <w:t>That personal</w:t>
      </w:r>
      <w:r w:rsidR="00817C10">
        <w:rPr>
          <w:rFonts w:ascii="Times New Roman" w:hAnsi="Times New Roman" w:cs="Times New Roman"/>
          <w:sz w:val="24"/>
          <w:szCs w:val="24"/>
        </w:rPr>
        <w:t xml:space="preserve"> intimate</w:t>
      </w:r>
      <w:r w:rsidRPr="007C115F">
        <w:rPr>
          <w:rFonts w:ascii="Times New Roman" w:hAnsi="Times New Roman" w:cs="Times New Roman"/>
          <w:sz w:val="24"/>
          <w:szCs w:val="24"/>
        </w:rPr>
        <w:t xml:space="preserve"> bond between </w:t>
      </w:r>
      <w:r w:rsidR="00817C10">
        <w:rPr>
          <w:rFonts w:ascii="Times New Roman" w:hAnsi="Times New Roman" w:cs="Times New Roman"/>
          <w:sz w:val="24"/>
          <w:szCs w:val="24"/>
        </w:rPr>
        <w:t>grown-ups</w:t>
      </w:r>
      <w:r w:rsidRPr="007C115F">
        <w:rPr>
          <w:rFonts w:ascii="Times New Roman" w:hAnsi="Times New Roman" w:cs="Times New Roman"/>
          <w:sz w:val="24"/>
          <w:szCs w:val="24"/>
        </w:rPr>
        <w:t>, as acted upon in the home, is a liberty protected by the Due Process Clause against the states.</w:t>
      </w:r>
      <w:r>
        <w:rPr>
          <w:rFonts w:ascii="Times New Roman" w:hAnsi="Times New Roman" w:cs="Times New Roman"/>
          <w:sz w:val="24"/>
          <w:szCs w:val="24"/>
        </w:rPr>
        <w:t xml:space="preserve"> </w:t>
      </w:r>
      <w:r w:rsidRPr="007C115F">
        <w:rPr>
          <w:rFonts w:ascii="Times New Roman" w:hAnsi="Times New Roman" w:cs="Times New Roman"/>
          <w:sz w:val="24"/>
          <w:szCs w:val="24"/>
        </w:rPr>
        <w:t>Bowers' method of identifying rights that deserve Court protection against the state</w:t>
      </w:r>
      <w:r w:rsidR="00817C10">
        <w:rPr>
          <w:rFonts w:ascii="Times New Roman" w:hAnsi="Times New Roman" w:cs="Times New Roman"/>
          <w:sz w:val="24"/>
          <w:szCs w:val="24"/>
        </w:rPr>
        <w:t xml:space="preserve"> were also rejected by the court</w:t>
      </w:r>
      <w:r w:rsidRPr="007C115F">
        <w:rPr>
          <w:rFonts w:ascii="Times New Roman" w:hAnsi="Times New Roman" w:cs="Times New Roman"/>
          <w:sz w:val="24"/>
          <w:szCs w:val="24"/>
        </w:rPr>
        <w:t>. The Court argued that "history and traditions," i.e., America's historic laws, "are the starting point but not in all cases the ending point" in identifying the existence of such rights. From </w:t>
      </w:r>
      <w:r w:rsidRPr="00BA7834">
        <w:rPr>
          <w:rFonts w:ascii="Times New Roman" w:hAnsi="Times New Roman" w:cs="Times New Roman"/>
          <w:sz w:val="24"/>
          <w:szCs w:val="24"/>
        </w:rPr>
        <w:t>Griswold v. Connecticut (1965)</w:t>
      </w:r>
      <w:r w:rsidRPr="007C115F">
        <w:rPr>
          <w:rFonts w:ascii="Times New Roman" w:hAnsi="Times New Roman" w:cs="Times New Roman"/>
          <w:sz w:val="24"/>
          <w:szCs w:val="24"/>
        </w:rPr>
        <w:t> to </w:t>
      </w:r>
      <w:r w:rsidRPr="00BA7834">
        <w:rPr>
          <w:rFonts w:ascii="Times New Roman" w:hAnsi="Times New Roman" w:cs="Times New Roman"/>
          <w:sz w:val="24"/>
          <w:szCs w:val="24"/>
        </w:rPr>
        <w:t>Roe v. Wade (1973)</w:t>
      </w:r>
      <w:r w:rsidRPr="007C115F">
        <w:rPr>
          <w:rFonts w:ascii="Times New Roman" w:hAnsi="Times New Roman" w:cs="Times New Roman"/>
          <w:sz w:val="24"/>
          <w:szCs w:val="24"/>
        </w:rPr>
        <w:t>, fundamental rights have been construed broadly, so even activities largely banned by America's laws, such as abortions, may be constitutionally protected. In her concurring opinion, </w:t>
      </w:r>
      <w:r w:rsidRPr="00BA7834">
        <w:rPr>
          <w:rFonts w:ascii="Times New Roman" w:hAnsi="Times New Roman" w:cs="Times New Roman"/>
          <w:sz w:val="24"/>
          <w:szCs w:val="24"/>
        </w:rPr>
        <w:t>Justice Sandra Day O'Connor</w:t>
      </w:r>
      <w:r w:rsidRPr="007C115F">
        <w:rPr>
          <w:rFonts w:ascii="Times New Roman" w:hAnsi="Times New Roman" w:cs="Times New Roman"/>
          <w:sz w:val="24"/>
          <w:szCs w:val="24"/>
        </w:rPr>
        <w:t> argued that because the law prohibited homosexual sodomy and not heterosexual sodomy, it was a violation of the Equal Protection Clause. The majority did not join her extension of Equal Protection rights to gays.</w:t>
      </w:r>
      <w:r w:rsidR="00BA7834">
        <w:rPr>
          <w:rFonts w:ascii="Times New Roman" w:hAnsi="Times New Roman" w:cs="Times New Roman"/>
          <w:sz w:val="24"/>
          <w:szCs w:val="24"/>
        </w:rPr>
        <w:t xml:space="preserve"> This clearly shows that even if the cultural beliefs are against practices like homosexuality and abortion, they are still protected by the law. It is a clear indication that cultural beliefs, however strong, do not influence the law.</w:t>
      </w:r>
    </w:p>
    <w:p w:rsidR="0013533F" w:rsidP="005D68BC" w14:paraId="792F9AE7" w14:textId="0F630C3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conclusion,</w:t>
      </w:r>
      <w:r w:rsidR="00531CE3">
        <w:rPr>
          <w:rFonts w:ascii="Times New Roman" w:hAnsi="Times New Roman" w:cs="Times New Roman"/>
          <w:sz w:val="24"/>
          <w:szCs w:val="24"/>
        </w:rPr>
        <w:t xml:space="preserve"> society may be against homosexuality and they are greatly discriminated.</w:t>
      </w:r>
      <w:r w:rsidR="003E0BDF">
        <w:rPr>
          <w:rFonts w:ascii="Times New Roman" w:hAnsi="Times New Roman" w:cs="Times New Roman"/>
          <w:sz w:val="24"/>
          <w:szCs w:val="24"/>
        </w:rPr>
        <w:t xml:space="preserve"> Some members of the society view them as an abomination but the law tries to protect them against such cruelty. They have equal rights just like any member of the community</w:t>
      </w:r>
      <w:r w:rsidR="008C4301">
        <w:rPr>
          <w:rFonts w:ascii="Times New Roman" w:hAnsi="Times New Roman" w:cs="Times New Roman"/>
          <w:sz w:val="24"/>
          <w:szCs w:val="24"/>
        </w:rPr>
        <w:t xml:space="preserve"> </w:t>
      </w:r>
      <w:r w:rsidR="008C4301">
        <w:rPr>
          <w:rFonts w:ascii="Times New Roman" w:hAnsi="Times New Roman" w:cs="Times New Roman"/>
          <w:sz w:val="24"/>
          <w:szCs w:val="24"/>
        </w:rPr>
        <w:t xml:space="preserve">as long as both </w:t>
      </w:r>
      <w:r w:rsidR="00E82F3B">
        <w:rPr>
          <w:rFonts w:ascii="Times New Roman" w:hAnsi="Times New Roman" w:cs="Times New Roman"/>
          <w:sz w:val="24"/>
          <w:szCs w:val="24"/>
        </w:rPr>
        <w:t>parties</w:t>
      </w:r>
      <w:r w:rsidR="008C4301">
        <w:rPr>
          <w:rFonts w:ascii="Times New Roman" w:hAnsi="Times New Roman" w:cs="Times New Roman"/>
          <w:sz w:val="24"/>
          <w:szCs w:val="24"/>
        </w:rPr>
        <w:t xml:space="preserve"> a</w:t>
      </w:r>
      <w:r w:rsidR="00E82F3B">
        <w:rPr>
          <w:rFonts w:ascii="Times New Roman" w:hAnsi="Times New Roman" w:cs="Times New Roman"/>
          <w:sz w:val="24"/>
          <w:szCs w:val="24"/>
        </w:rPr>
        <w:t>r</w:t>
      </w:r>
      <w:r w:rsidR="008C4301">
        <w:rPr>
          <w:rFonts w:ascii="Times New Roman" w:hAnsi="Times New Roman" w:cs="Times New Roman"/>
          <w:sz w:val="24"/>
          <w:szCs w:val="24"/>
        </w:rPr>
        <w:t>e adults and they both consent and neither of the parties are not coerced or forced.</w:t>
      </w:r>
      <w:r w:rsidR="00531CE3">
        <w:rPr>
          <w:rFonts w:ascii="Times New Roman" w:hAnsi="Times New Roman" w:cs="Times New Roman"/>
          <w:sz w:val="24"/>
          <w:szCs w:val="24"/>
        </w:rPr>
        <w:t xml:space="preserve"> </w:t>
      </w:r>
      <w:r w:rsidRPr="007C115F" w:rsidR="007C115F">
        <w:rPr>
          <w:rFonts w:ascii="Times New Roman" w:hAnsi="Times New Roman" w:cs="Times New Roman"/>
          <w:sz w:val="24"/>
          <w:szCs w:val="24"/>
        </w:rPr>
        <w:t>Lawrence v. Texas was a paramount case in two regards. First and most obviously, the ruling established that consensual and private homosexual sex is part of a </w:t>
      </w:r>
      <w:r w:rsidRPr="00824061" w:rsidR="007C115F">
        <w:rPr>
          <w:rFonts w:ascii="Times New Roman" w:hAnsi="Times New Roman" w:cs="Times New Roman"/>
          <w:sz w:val="24"/>
          <w:szCs w:val="24"/>
        </w:rPr>
        <w:t>substantive</w:t>
      </w:r>
      <w:r w:rsidR="00824061">
        <w:rPr>
          <w:rFonts w:ascii="Times New Roman" w:hAnsi="Times New Roman" w:cs="Times New Roman"/>
          <w:sz w:val="24"/>
          <w:szCs w:val="24"/>
        </w:rPr>
        <w:t xml:space="preserve"> </w:t>
      </w:r>
      <w:r w:rsidRPr="007C115F" w:rsidR="007C115F">
        <w:rPr>
          <w:rFonts w:ascii="Times New Roman" w:hAnsi="Times New Roman" w:cs="Times New Roman"/>
          <w:sz w:val="24"/>
          <w:szCs w:val="24"/>
        </w:rPr>
        <w:t>right to liberty as protected by the Constitution. Second, and less obviously, Lawrence held that "fundamental rights" (i.e., "substantive due process," or activities implicitly protected by the Constitution) are really broad principles of liberty under which numerous and disparate activities may be protected.</w:t>
      </w:r>
      <w:r w:rsidR="00531CE3">
        <w:rPr>
          <w:rFonts w:ascii="Times New Roman" w:hAnsi="Times New Roman" w:cs="Times New Roman"/>
          <w:sz w:val="24"/>
          <w:szCs w:val="24"/>
        </w:rPr>
        <w:t xml:space="preserve"> </w:t>
      </w:r>
      <w:r w:rsidR="003E0BDF">
        <w:rPr>
          <w:rFonts w:ascii="Times New Roman" w:hAnsi="Times New Roman" w:cs="Times New Roman"/>
          <w:sz w:val="24"/>
          <w:szCs w:val="24"/>
        </w:rPr>
        <w:t>More</w:t>
      </w:r>
      <w:r w:rsidR="00531CE3">
        <w:rPr>
          <w:rFonts w:ascii="Times New Roman" w:hAnsi="Times New Roman" w:cs="Times New Roman"/>
          <w:sz w:val="24"/>
          <w:szCs w:val="24"/>
        </w:rPr>
        <w:t xml:space="preserve"> research should be conducted to evaluate if homosexuality is caused by peer pressure or if it a genetic thing. </w:t>
      </w:r>
    </w:p>
    <w:p w:rsidR="00F85B9B" w:rsidP="00F85B9B" w14:paraId="5B83A5F3" w14:textId="0B0165BD">
      <w:pPr>
        <w:spacing w:after="0" w:line="480" w:lineRule="auto"/>
        <w:rPr>
          <w:rFonts w:ascii="Times New Roman" w:hAnsi="Times New Roman" w:cs="Times New Roman"/>
          <w:sz w:val="24"/>
          <w:szCs w:val="24"/>
        </w:rPr>
      </w:pPr>
    </w:p>
    <w:p w:rsidR="00C07EB4" w:rsidP="00F85B9B" w14:paraId="4FA8AA06" w14:textId="148F8206">
      <w:pPr>
        <w:spacing w:after="0" w:line="480" w:lineRule="auto"/>
        <w:rPr>
          <w:rFonts w:ascii="Times New Roman" w:hAnsi="Times New Roman" w:cs="Times New Roman"/>
          <w:sz w:val="24"/>
          <w:szCs w:val="24"/>
        </w:rPr>
      </w:pPr>
    </w:p>
    <w:p w:rsidR="00C07EB4" w:rsidP="00F85B9B" w14:paraId="607BCB7D" w14:textId="083A53CE">
      <w:pPr>
        <w:spacing w:after="0" w:line="480" w:lineRule="auto"/>
        <w:rPr>
          <w:rFonts w:ascii="Times New Roman" w:hAnsi="Times New Roman" w:cs="Times New Roman"/>
          <w:sz w:val="24"/>
          <w:szCs w:val="24"/>
        </w:rPr>
      </w:pPr>
    </w:p>
    <w:p w:rsidR="00C07EB4" w:rsidP="00F85B9B" w14:paraId="40ADADB3" w14:textId="61ED77C7">
      <w:pPr>
        <w:spacing w:after="0" w:line="480" w:lineRule="auto"/>
        <w:rPr>
          <w:rFonts w:ascii="Times New Roman" w:hAnsi="Times New Roman" w:cs="Times New Roman"/>
          <w:sz w:val="24"/>
          <w:szCs w:val="24"/>
        </w:rPr>
      </w:pPr>
    </w:p>
    <w:p w:rsidR="00C07EB4" w:rsidP="00F85B9B" w14:paraId="6E18FFA2" w14:textId="5013CABC">
      <w:pPr>
        <w:spacing w:after="0" w:line="480" w:lineRule="auto"/>
        <w:rPr>
          <w:rFonts w:ascii="Times New Roman" w:hAnsi="Times New Roman" w:cs="Times New Roman"/>
          <w:sz w:val="24"/>
          <w:szCs w:val="24"/>
        </w:rPr>
      </w:pPr>
    </w:p>
    <w:p w:rsidR="00C07EB4" w:rsidP="00F85B9B" w14:paraId="225562E5" w14:textId="40BFA171">
      <w:pPr>
        <w:spacing w:after="0" w:line="480" w:lineRule="auto"/>
        <w:rPr>
          <w:rFonts w:ascii="Times New Roman" w:hAnsi="Times New Roman" w:cs="Times New Roman"/>
          <w:sz w:val="24"/>
          <w:szCs w:val="24"/>
        </w:rPr>
      </w:pPr>
    </w:p>
    <w:p w:rsidR="00C07EB4" w:rsidP="00F85B9B" w14:paraId="12A13303" w14:textId="4D2EAE17">
      <w:pPr>
        <w:spacing w:after="0" w:line="480" w:lineRule="auto"/>
        <w:rPr>
          <w:rFonts w:ascii="Times New Roman" w:hAnsi="Times New Roman" w:cs="Times New Roman"/>
          <w:sz w:val="24"/>
          <w:szCs w:val="24"/>
        </w:rPr>
      </w:pPr>
    </w:p>
    <w:p w:rsidR="00C07EB4" w:rsidP="00F85B9B" w14:paraId="7AF4C3CD" w14:textId="1B088D6E">
      <w:pPr>
        <w:spacing w:after="0" w:line="480" w:lineRule="auto"/>
        <w:rPr>
          <w:rFonts w:ascii="Times New Roman" w:hAnsi="Times New Roman" w:cs="Times New Roman"/>
          <w:sz w:val="24"/>
          <w:szCs w:val="24"/>
        </w:rPr>
      </w:pPr>
    </w:p>
    <w:p w:rsidR="00E82F3B" w:rsidP="00C07EB4" w14:paraId="7942BF74" w14:textId="77777777">
      <w:pPr>
        <w:spacing w:after="0" w:line="480" w:lineRule="auto"/>
        <w:jc w:val="center"/>
        <w:rPr>
          <w:rFonts w:ascii="Times New Roman" w:hAnsi="Times New Roman" w:cs="Times New Roman"/>
          <w:sz w:val="24"/>
          <w:szCs w:val="24"/>
        </w:rPr>
      </w:pPr>
    </w:p>
    <w:p w:rsidR="00E82F3B" w:rsidP="00C07EB4" w14:paraId="7600885E" w14:textId="77777777">
      <w:pPr>
        <w:spacing w:after="0" w:line="480" w:lineRule="auto"/>
        <w:jc w:val="center"/>
        <w:rPr>
          <w:rFonts w:ascii="Times New Roman" w:hAnsi="Times New Roman" w:cs="Times New Roman"/>
          <w:sz w:val="24"/>
          <w:szCs w:val="24"/>
        </w:rPr>
      </w:pPr>
    </w:p>
    <w:p w:rsidR="00E82F3B" w:rsidP="00C07EB4" w14:paraId="79985094" w14:textId="77777777">
      <w:pPr>
        <w:spacing w:after="0" w:line="480" w:lineRule="auto"/>
        <w:jc w:val="center"/>
        <w:rPr>
          <w:rFonts w:ascii="Times New Roman" w:hAnsi="Times New Roman" w:cs="Times New Roman"/>
          <w:sz w:val="24"/>
          <w:szCs w:val="24"/>
        </w:rPr>
      </w:pPr>
    </w:p>
    <w:p w:rsidR="00E82F3B" w:rsidP="00C07EB4" w14:paraId="495CDB4A" w14:textId="00A21689">
      <w:pPr>
        <w:spacing w:after="0" w:line="480" w:lineRule="auto"/>
        <w:jc w:val="center"/>
        <w:rPr>
          <w:rFonts w:ascii="Times New Roman" w:hAnsi="Times New Roman" w:cs="Times New Roman"/>
          <w:sz w:val="24"/>
          <w:szCs w:val="24"/>
        </w:rPr>
      </w:pPr>
    </w:p>
    <w:p w:rsidR="00D03338" w:rsidP="00C07EB4" w14:paraId="65472A8F" w14:textId="763890E8">
      <w:pPr>
        <w:spacing w:after="0" w:line="480" w:lineRule="auto"/>
        <w:jc w:val="center"/>
        <w:rPr>
          <w:rFonts w:ascii="Times New Roman" w:hAnsi="Times New Roman" w:cs="Times New Roman"/>
          <w:sz w:val="24"/>
          <w:szCs w:val="24"/>
        </w:rPr>
      </w:pPr>
    </w:p>
    <w:p w:rsidR="00D03338" w:rsidP="00C07EB4" w14:paraId="731BFB3B" w14:textId="1381F674">
      <w:pPr>
        <w:spacing w:after="0" w:line="480" w:lineRule="auto"/>
        <w:jc w:val="center"/>
        <w:rPr>
          <w:rFonts w:ascii="Times New Roman" w:hAnsi="Times New Roman" w:cs="Times New Roman"/>
          <w:sz w:val="24"/>
          <w:szCs w:val="24"/>
        </w:rPr>
      </w:pPr>
    </w:p>
    <w:p w:rsidR="00D03338" w:rsidP="00C07EB4" w14:paraId="7BD888E5" w14:textId="77777777">
      <w:pPr>
        <w:spacing w:after="0" w:line="480" w:lineRule="auto"/>
        <w:jc w:val="center"/>
        <w:rPr>
          <w:rFonts w:ascii="Times New Roman" w:hAnsi="Times New Roman" w:cs="Times New Roman"/>
          <w:sz w:val="24"/>
          <w:szCs w:val="24"/>
        </w:rPr>
      </w:pPr>
      <w:bookmarkStart w:id="0" w:name="_GoBack"/>
      <w:bookmarkEnd w:id="0"/>
    </w:p>
    <w:p w:rsidR="00C07EB4" w:rsidP="00C07EB4" w14:paraId="3226757A" w14:textId="6358310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C07EB4" w:rsidP="00F85B9B" w14:paraId="208335CA" w14:textId="29B38666">
      <w:pPr>
        <w:spacing w:after="0" w:line="480" w:lineRule="auto"/>
        <w:rPr>
          <w:rFonts w:ascii="Times New Roman" w:hAnsi="Times New Roman" w:cs="Times New Roman"/>
          <w:sz w:val="24"/>
          <w:szCs w:val="24"/>
        </w:rPr>
      </w:pPr>
      <w:r w:rsidRPr="00C07EB4">
        <w:rPr>
          <w:rFonts w:ascii="Times New Roman" w:hAnsi="Times New Roman" w:cs="Times New Roman"/>
          <w:sz w:val="24"/>
          <w:szCs w:val="24"/>
        </w:rPr>
        <w:t xml:space="preserve">Walsh, A., &amp; </w:t>
      </w:r>
      <w:r w:rsidRPr="00C07EB4">
        <w:rPr>
          <w:rFonts w:ascii="Times New Roman" w:hAnsi="Times New Roman" w:cs="Times New Roman"/>
          <w:sz w:val="24"/>
          <w:szCs w:val="24"/>
        </w:rPr>
        <w:t>Hemmens</w:t>
      </w:r>
      <w:r w:rsidRPr="00C07EB4">
        <w:rPr>
          <w:rFonts w:ascii="Times New Roman" w:hAnsi="Times New Roman" w:cs="Times New Roman"/>
          <w:sz w:val="24"/>
          <w:szCs w:val="24"/>
        </w:rPr>
        <w:t>, C. (2008). </w:t>
      </w:r>
      <w:r w:rsidRPr="00C07EB4">
        <w:rPr>
          <w:rFonts w:ascii="Times New Roman" w:hAnsi="Times New Roman" w:cs="Times New Roman"/>
          <w:i/>
          <w:iCs/>
          <w:sz w:val="24"/>
          <w:szCs w:val="24"/>
        </w:rPr>
        <w:t>LAW, JUSTICE, AND SOCIETY</w:t>
      </w:r>
      <w:r w:rsidRPr="00C07EB4">
        <w:rPr>
          <w:rFonts w:ascii="Times New Roman" w:hAnsi="Times New Roman" w:cs="Times New Roman"/>
          <w:sz w:val="24"/>
          <w:szCs w:val="24"/>
        </w:rPr>
        <w:t>. New York: Oxford.</w:t>
      </w:r>
    </w:p>
    <w:p w:rsidR="004E1253" w:rsidRPr="00B26F18" w:rsidP="00F85B9B" w14:paraId="6737C8CD" w14:textId="25179022">
      <w:pPr>
        <w:spacing w:after="0" w:line="480" w:lineRule="auto"/>
        <w:rPr>
          <w:rFonts w:ascii="Times New Roman" w:hAnsi="Times New Roman" w:cs="Times New Roman"/>
          <w:sz w:val="24"/>
          <w:szCs w:val="24"/>
        </w:rPr>
      </w:pPr>
      <w:r w:rsidRPr="004E1253">
        <w:rPr>
          <w:rFonts w:ascii="Times New Roman" w:hAnsi="Times New Roman" w:cs="Times New Roman"/>
          <w:sz w:val="24"/>
          <w:szCs w:val="24"/>
        </w:rPr>
        <w:t>Friedman, L., &amp; Hayden, G. </w:t>
      </w:r>
      <w:r w:rsidRPr="004E1253">
        <w:rPr>
          <w:rFonts w:ascii="Times New Roman" w:hAnsi="Times New Roman" w:cs="Times New Roman"/>
          <w:i/>
          <w:iCs/>
          <w:sz w:val="24"/>
          <w:szCs w:val="24"/>
        </w:rPr>
        <w:t>American law</w:t>
      </w:r>
      <w:r w:rsidRPr="004E1253">
        <w:rPr>
          <w:rFonts w:ascii="Times New Roman" w:hAnsi="Times New Roman" w:cs="Times New Roman"/>
          <w:sz w:val="24"/>
          <w:szCs w:val="24"/>
        </w:rPr>
        <w:t>.</w:t>
      </w:r>
    </w:p>
    <w:sectPr w:rsidSect="00F153BB">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53BB" w:rsidRPr="00F153BB" w14:paraId="5F5D2BC9" w14:textId="64A71453">
    <w:pPr>
      <w:pStyle w:val="Header"/>
      <w:rPr>
        <w:rFonts w:ascii="Times New Roman" w:hAnsi="Times New Roman" w:cs="Times New Roman"/>
        <w:sz w:val="24"/>
        <w:szCs w:val="24"/>
      </w:rPr>
    </w:pPr>
    <w:r w:rsidRPr="00F153BB">
      <w:rPr>
        <w:rFonts w:ascii="Times New Roman" w:hAnsi="Times New Roman" w:cs="Times New Roman"/>
        <w:sz w:val="24"/>
        <w:szCs w:val="24"/>
      </w:rPr>
      <w:t xml:space="preserve">Legal Culture                                     </w:t>
    </w:r>
    <w:r>
      <w:rPr>
        <w:rFonts w:ascii="Times New Roman" w:hAnsi="Times New Roman" w:cs="Times New Roman"/>
        <w:sz w:val="24"/>
        <w:szCs w:val="24"/>
      </w:rPr>
      <w:t xml:space="preserve">                                                                                              </w:t>
    </w:r>
    <w:r w:rsidRPr="00F153BB">
      <w:rPr>
        <w:rFonts w:ascii="Times New Roman" w:hAnsi="Times New Roman" w:cs="Times New Roman"/>
        <w:sz w:val="24"/>
        <w:szCs w:val="24"/>
      </w:rPr>
      <w:fldChar w:fldCharType="begin"/>
    </w:r>
    <w:r w:rsidRPr="00F153BB">
      <w:rPr>
        <w:rFonts w:ascii="Times New Roman" w:hAnsi="Times New Roman" w:cs="Times New Roman"/>
        <w:sz w:val="24"/>
        <w:szCs w:val="24"/>
      </w:rPr>
      <w:instrText xml:space="preserve"> PAGE   \* MERGEFORMAT </w:instrText>
    </w:r>
    <w:r w:rsidRPr="00F153BB">
      <w:rPr>
        <w:rFonts w:ascii="Times New Roman" w:hAnsi="Times New Roman" w:cs="Times New Roman"/>
        <w:sz w:val="24"/>
        <w:szCs w:val="24"/>
      </w:rPr>
      <w:fldChar w:fldCharType="separate"/>
    </w:r>
    <w:r w:rsidRPr="00F153BB">
      <w:rPr>
        <w:rFonts w:ascii="Times New Roman" w:hAnsi="Times New Roman" w:cs="Times New Roman"/>
        <w:noProof/>
        <w:sz w:val="24"/>
        <w:szCs w:val="24"/>
      </w:rPr>
      <w:t>1</w:t>
    </w:r>
    <w:r w:rsidRPr="00F153B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53BB" w:rsidRPr="00F153BB" w14:paraId="307C0FF4" w14:textId="015FA89B">
    <w:pPr>
      <w:pStyle w:val="Header"/>
      <w:rPr>
        <w:rFonts w:ascii="Times New Roman" w:hAnsi="Times New Roman" w:cs="Times New Roman"/>
        <w:sz w:val="24"/>
        <w:szCs w:val="24"/>
      </w:rPr>
    </w:pPr>
    <w:r w:rsidRPr="00F153BB">
      <w:rPr>
        <w:rFonts w:ascii="Times New Roman" w:hAnsi="Times New Roman" w:cs="Times New Roman"/>
        <w:sz w:val="24"/>
        <w:szCs w:val="24"/>
      </w:rPr>
      <w:t xml:space="preserve">Running head; Legal Culture                                 </w:t>
    </w:r>
    <w:r>
      <w:rPr>
        <w:rFonts w:ascii="Times New Roman" w:hAnsi="Times New Roman" w:cs="Times New Roman"/>
        <w:sz w:val="24"/>
        <w:szCs w:val="24"/>
      </w:rPr>
      <w:t xml:space="preserve">                                               </w:t>
    </w:r>
    <w:r w:rsidRPr="00F153BB">
      <w:rPr>
        <w:rFonts w:ascii="Times New Roman" w:hAnsi="Times New Roman" w:cs="Times New Roman"/>
        <w:sz w:val="24"/>
        <w:szCs w:val="24"/>
      </w:rPr>
      <w:t xml:space="preserve">                           </w:t>
    </w:r>
    <w:r w:rsidRPr="00F153BB">
      <w:rPr>
        <w:rFonts w:ascii="Times New Roman" w:hAnsi="Times New Roman" w:cs="Times New Roman"/>
        <w:sz w:val="24"/>
        <w:szCs w:val="24"/>
      </w:rPr>
      <w:fldChar w:fldCharType="begin"/>
    </w:r>
    <w:r w:rsidRPr="00F153BB">
      <w:rPr>
        <w:rFonts w:ascii="Times New Roman" w:hAnsi="Times New Roman" w:cs="Times New Roman"/>
        <w:sz w:val="24"/>
        <w:szCs w:val="24"/>
      </w:rPr>
      <w:instrText xml:space="preserve"> PAGE   \* MERGEFORMAT </w:instrText>
    </w:r>
    <w:r w:rsidRPr="00F153BB">
      <w:rPr>
        <w:rFonts w:ascii="Times New Roman" w:hAnsi="Times New Roman" w:cs="Times New Roman"/>
        <w:sz w:val="24"/>
        <w:szCs w:val="24"/>
      </w:rPr>
      <w:fldChar w:fldCharType="separate"/>
    </w:r>
    <w:r w:rsidRPr="00F153BB">
      <w:rPr>
        <w:rFonts w:ascii="Times New Roman" w:hAnsi="Times New Roman" w:cs="Times New Roman"/>
        <w:noProof/>
        <w:sz w:val="24"/>
        <w:szCs w:val="24"/>
      </w:rPr>
      <w:t>1</w:t>
    </w:r>
    <w:r w:rsidRPr="00F153B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F18"/>
    <w:rsid w:val="00051836"/>
    <w:rsid w:val="000A3C3A"/>
    <w:rsid w:val="000C5E89"/>
    <w:rsid w:val="000E744E"/>
    <w:rsid w:val="000F75D5"/>
    <w:rsid w:val="001018B6"/>
    <w:rsid w:val="0013533F"/>
    <w:rsid w:val="00153343"/>
    <w:rsid w:val="002A4413"/>
    <w:rsid w:val="002D2755"/>
    <w:rsid w:val="003E0BDF"/>
    <w:rsid w:val="004118E6"/>
    <w:rsid w:val="004A3A89"/>
    <w:rsid w:val="004A7C94"/>
    <w:rsid w:val="004E1253"/>
    <w:rsid w:val="00531CE3"/>
    <w:rsid w:val="00547F0E"/>
    <w:rsid w:val="005D68BC"/>
    <w:rsid w:val="00627407"/>
    <w:rsid w:val="00632ABB"/>
    <w:rsid w:val="006727CF"/>
    <w:rsid w:val="00693C14"/>
    <w:rsid w:val="006D2BF3"/>
    <w:rsid w:val="007056CC"/>
    <w:rsid w:val="007C115F"/>
    <w:rsid w:val="00817C10"/>
    <w:rsid w:val="00824061"/>
    <w:rsid w:val="008C4301"/>
    <w:rsid w:val="009839F0"/>
    <w:rsid w:val="009C6244"/>
    <w:rsid w:val="00B12C62"/>
    <w:rsid w:val="00B26F18"/>
    <w:rsid w:val="00B91533"/>
    <w:rsid w:val="00BA7834"/>
    <w:rsid w:val="00C07EB4"/>
    <w:rsid w:val="00D03338"/>
    <w:rsid w:val="00DE74A7"/>
    <w:rsid w:val="00E82F3B"/>
    <w:rsid w:val="00F153BB"/>
    <w:rsid w:val="00F85B9B"/>
    <w:rsid w:val="00FC3132"/>
    <w:rsid w:val="00FE35A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4CA3F23F-69D8-4F43-9660-80C23EFA6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53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53BB"/>
  </w:style>
  <w:style w:type="paragraph" w:styleId="Footer">
    <w:name w:val="footer"/>
    <w:basedOn w:val="Normal"/>
    <w:link w:val="FooterChar"/>
    <w:uiPriority w:val="99"/>
    <w:unhideWhenUsed/>
    <w:rsid w:val="00F153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53BB"/>
  </w:style>
  <w:style w:type="character" w:styleId="Hyperlink">
    <w:name w:val="Hyperlink"/>
    <w:basedOn w:val="DefaultParagraphFont"/>
    <w:uiPriority w:val="99"/>
    <w:unhideWhenUsed/>
    <w:rsid w:val="007C115F"/>
    <w:rPr>
      <w:color w:val="0563C1" w:themeColor="hyperlink"/>
      <w:u w:val="single"/>
    </w:rPr>
  </w:style>
  <w:style w:type="character" w:customStyle="1" w:styleId="UnresolvedMention">
    <w:name w:val="Unresolved Mention"/>
    <w:basedOn w:val="DefaultParagraphFont"/>
    <w:uiPriority w:val="99"/>
    <w:semiHidden/>
    <w:unhideWhenUsed/>
    <w:rsid w:val="007C11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TotalTime>
  <Pages>7</Pages>
  <Words>1394</Words>
  <Characters>7948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bree</dc:creator>
  <cp:lastModifiedBy>bree</cp:lastModifiedBy>
  <cp:revision>28</cp:revision>
  <dcterms:created xsi:type="dcterms:W3CDTF">2019-07-12T04:25:00Z</dcterms:created>
  <dcterms:modified xsi:type="dcterms:W3CDTF">2019-07-12T07:45:00Z</dcterms:modified>
</cp:coreProperties>
</file>